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445" w:rsidRPr="002048EC" w:rsidRDefault="00033445" w:rsidP="00033445">
      <w:pPr>
        <w:shd w:val="clear" w:color="auto" w:fill="FFFFFF"/>
        <w:ind w:left="357" w:firstLine="0"/>
        <w:jc w:val="center"/>
        <w:outlineLvl w:val="0"/>
        <w:rPr>
          <w:rFonts w:ascii="Arial" w:eastAsia="Times New Roman" w:hAnsi="Arial" w:cs="Arial"/>
          <w:color w:val="1F4E79" w:themeColor="accent1" w:themeShade="80"/>
          <w:kern w:val="36"/>
          <w:sz w:val="44"/>
          <w:szCs w:val="42"/>
          <w:lang w:val="en-US"/>
        </w:rPr>
      </w:pPr>
      <w:r w:rsidRPr="002048EC">
        <w:rPr>
          <w:rFonts w:ascii="Arial" w:eastAsia="Times New Roman" w:hAnsi="Arial" w:cs="Arial"/>
          <w:color w:val="1F4E79" w:themeColor="accent1" w:themeShade="80"/>
          <w:kern w:val="36"/>
          <w:sz w:val="44"/>
          <w:szCs w:val="42"/>
          <w:lang w:val="en-US"/>
        </w:rPr>
        <w:t>Innovative digital skills and teaching methods for effective health education in Lebanon and Syria</w:t>
      </w:r>
    </w:p>
    <w:p w:rsidR="00033445" w:rsidRDefault="00033445" w:rsidP="00033445">
      <w:pPr>
        <w:shd w:val="clear" w:color="auto" w:fill="FFFFFF"/>
        <w:ind w:left="357" w:firstLine="0"/>
        <w:jc w:val="center"/>
        <w:outlineLvl w:val="0"/>
        <w:rPr>
          <w:rFonts w:ascii="Arial" w:hAnsi="Arial" w:cs="Arial"/>
          <w:color w:val="555555"/>
          <w:sz w:val="20"/>
          <w:szCs w:val="18"/>
          <w:shd w:val="clear" w:color="auto" w:fill="F9F9F9"/>
          <w:lang w:val="en-US"/>
        </w:rPr>
      </w:pPr>
      <w:r w:rsidRPr="002048EC">
        <w:rPr>
          <w:rFonts w:ascii="Arial" w:hAnsi="Arial" w:cs="Arial"/>
          <w:color w:val="555555"/>
          <w:sz w:val="20"/>
          <w:szCs w:val="18"/>
          <w:shd w:val="clear" w:color="auto" w:fill="F9F9F9"/>
          <w:lang w:val="en-US"/>
        </w:rPr>
        <w:t>598243-EPP-1-2018-1-SE-EPPKA2-CBHE-JP</w:t>
      </w:r>
    </w:p>
    <w:p w:rsidR="00033445" w:rsidRPr="002048EC" w:rsidRDefault="00033445" w:rsidP="00033445">
      <w:pPr>
        <w:shd w:val="clear" w:color="auto" w:fill="FFFFFF"/>
        <w:ind w:left="357" w:firstLine="0"/>
        <w:jc w:val="center"/>
        <w:outlineLvl w:val="0"/>
        <w:rPr>
          <w:rFonts w:ascii="Arial" w:eastAsia="Times New Roman" w:hAnsi="Arial" w:cs="Arial"/>
          <w:color w:val="1F4E79" w:themeColor="accent1" w:themeShade="80"/>
          <w:kern w:val="36"/>
          <w:sz w:val="44"/>
          <w:szCs w:val="42"/>
          <w:lang w:val="en-US"/>
        </w:rPr>
      </w:pPr>
      <w:r w:rsidRPr="002048EC">
        <w:rPr>
          <w:rFonts w:ascii="Arial" w:eastAsia="Times New Roman" w:hAnsi="Arial" w:cs="Arial"/>
          <w:color w:val="1F4E79" w:themeColor="accent1" w:themeShade="80"/>
          <w:kern w:val="36"/>
          <w:sz w:val="44"/>
          <w:szCs w:val="42"/>
          <w:lang w:val="en-US"/>
        </w:rPr>
        <w:t>Quality report</w:t>
      </w:r>
    </w:p>
    <w:p w:rsidR="007066D1" w:rsidRDefault="007066D1" w:rsidP="007066D1">
      <w:pPr>
        <w:pStyle w:val="Rubrik3"/>
        <w:numPr>
          <w:ilvl w:val="0"/>
          <w:numId w:val="3"/>
        </w:numPr>
      </w:pPr>
      <w:r>
        <w:t>Field visit and Training Workshop (</w:t>
      </w:r>
      <w:r>
        <w:rPr>
          <w:rFonts w:eastAsia="Calibri" w:cs="Calibri"/>
        </w:rPr>
        <w:t>10</w:t>
      </w:r>
      <w:r>
        <w:t>-</w:t>
      </w:r>
      <w:r>
        <w:rPr>
          <w:rFonts w:eastAsia="Calibri" w:cs="Calibri"/>
        </w:rPr>
        <w:t>12</w:t>
      </w:r>
      <w:r>
        <w:t xml:space="preserve"> September </w:t>
      </w:r>
      <w:r>
        <w:rPr>
          <w:rFonts w:eastAsia="Calibri" w:cs="Calibri"/>
        </w:rPr>
        <w:t>2019</w:t>
      </w:r>
      <w:r>
        <w:t xml:space="preserve">, </w:t>
      </w:r>
      <w:r>
        <w:rPr>
          <w:rFonts w:eastAsia="Calibri" w:cs="Calibri"/>
        </w:rPr>
        <w:t xml:space="preserve">Santiago de </w:t>
      </w:r>
      <w:proofErr w:type="spellStart"/>
      <w:r>
        <w:rPr>
          <w:rFonts w:eastAsia="Calibri" w:cs="Calibri"/>
        </w:rPr>
        <w:t>Compostela</w:t>
      </w:r>
      <w:proofErr w:type="spellEnd"/>
      <w:r>
        <w:t>, Spain)</w:t>
      </w:r>
    </w:p>
    <w:p w:rsidR="007066D1" w:rsidRDefault="007066D1" w:rsidP="007066D1">
      <w:pPr>
        <w:ind w:firstLine="0"/>
        <w:jc w:val="both"/>
        <w:rPr>
          <w:b/>
        </w:rPr>
      </w:pPr>
      <w:r>
        <w:rPr>
          <w:b/>
        </w:rPr>
        <w:t>Methodology</w:t>
      </w:r>
    </w:p>
    <w:p w:rsidR="007066D1" w:rsidRDefault="007066D1" w:rsidP="007066D1">
      <w:pPr>
        <w:pBdr>
          <w:top w:val="nil"/>
          <w:left w:val="nil"/>
          <w:bottom w:val="nil"/>
          <w:right w:val="nil"/>
          <w:between w:val="nil"/>
        </w:pBdr>
        <w:ind w:firstLine="0"/>
        <w:jc w:val="both"/>
      </w:pPr>
      <w:r>
        <w:t xml:space="preserve">Collection of data </w:t>
      </w:r>
      <w:proofErr w:type="gramStart"/>
      <w:r>
        <w:t>was carried out</w:t>
      </w:r>
      <w:proofErr w:type="gramEnd"/>
      <w:r>
        <w:t xml:space="preserve"> by means of an on-line questionnaire that was administered to the partners on September 25th, 2019.</w:t>
      </w:r>
    </w:p>
    <w:p w:rsidR="007066D1" w:rsidRDefault="007066D1" w:rsidP="007066D1">
      <w:pPr>
        <w:pBdr>
          <w:top w:val="nil"/>
          <w:left w:val="nil"/>
          <w:bottom w:val="nil"/>
          <w:right w:val="nil"/>
          <w:between w:val="nil"/>
        </w:pBdr>
        <w:ind w:firstLine="0"/>
        <w:jc w:val="both"/>
        <w:rPr>
          <w:rFonts w:ascii="Times New Roman" w:eastAsia="Times New Roman" w:hAnsi="Times New Roman" w:cs="Times New Roman"/>
          <w:sz w:val="24"/>
          <w:szCs w:val="24"/>
        </w:rPr>
      </w:pPr>
      <w:r>
        <w:t xml:space="preserve">The 17 items, including closed </w:t>
      </w:r>
      <w:proofErr w:type="gramStart"/>
      <w:r>
        <w:t>questions and scale</w:t>
      </w:r>
      <w:proofErr w:type="gramEnd"/>
      <w:r>
        <w:t xml:space="preserve"> and open questions, aimed at verifying the satisfaction of participants concerning mainly organization, communication and achievements.</w:t>
      </w:r>
    </w:p>
    <w:p w:rsidR="007066D1" w:rsidRDefault="007066D1" w:rsidP="007066D1">
      <w:pPr>
        <w:pBdr>
          <w:top w:val="nil"/>
          <w:left w:val="nil"/>
          <w:bottom w:val="nil"/>
          <w:right w:val="nil"/>
          <w:between w:val="nil"/>
        </w:pBdr>
        <w:ind w:firstLine="0"/>
        <w:jc w:val="both"/>
      </w:pPr>
      <w:r>
        <w:t xml:space="preserve">The questionnaire </w:t>
      </w:r>
      <w:proofErr w:type="gramStart"/>
      <w:r>
        <w:t>was administered</w:t>
      </w:r>
      <w:proofErr w:type="gramEnd"/>
      <w:r>
        <w:t xml:space="preserve"> to 14 participants to the training. </w:t>
      </w:r>
      <w:proofErr w:type="gramStart"/>
      <w:r>
        <w:t>9</w:t>
      </w:r>
      <w:proofErr w:type="gramEnd"/>
      <w:r>
        <w:t xml:space="preserve"> valid questionnaires were collected.</w:t>
      </w:r>
    </w:p>
    <w:p w:rsidR="007066D1" w:rsidRDefault="007066D1" w:rsidP="007066D1">
      <w:pPr>
        <w:pBdr>
          <w:top w:val="nil"/>
          <w:left w:val="nil"/>
          <w:bottom w:val="nil"/>
          <w:right w:val="nil"/>
          <w:between w:val="nil"/>
        </w:pBdr>
        <w:ind w:firstLine="0"/>
        <w:jc w:val="both"/>
      </w:pPr>
    </w:p>
    <w:p w:rsidR="007066D1" w:rsidRDefault="007066D1" w:rsidP="007066D1">
      <w:pPr>
        <w:ind w:firstLine="0"/>
        <w:jc w:val="both"/>
        <w:rPr>
          <w:b/>
        </w:rPr>
      </w:pPr>
      <w:r>
        <w:rPr>
          <w:b/>
        </w:rPr>
        <w:t>Results</w:t>
      </w:r>
    </w:p>
    <w:p w:rsidR="007066D1" w:rsidRDefault="007066D1" w:rsidP="007066D1">
      <w:pPr>
        <w:pBdr>
          <w:top w:val="nil"/>
          <w:left w:val="nil"/>
          <w:bottom w:val="nil"/>
          <w:right w:val="nil"/>
          <w:between w:val="nil"/>
        </w:pBdr>
        <w:ind w:firstLine="0"/>
        <w:jc w:val="both"/>
        <w:rPr>
          <w:i/>
        </w:rPr>
      </w:pPr>
      <w:r>
        <w:rPr>
          <w:i/>
        </w:rPr>
        <w:t>Training organization</w:t>
      </w:r>
    </w:p>
    <w:p w:rsidR="007066D1" w:rsidRDefault="007066D1" w:rsidP="007066D1">
      <w:pPr>
        <w:pBdr>
          <w:top w:val="nil"/>
          <w:left w:val="nil"/>
          <w:bottom w:val="nil"/>
          <w:right w:val="nil"/>
          <w:between w:val="nil"/>
        </w:pBdr>
        <w:ind w:firstLine="0"/>
        <w:jc w:val="both"/>
      </w:pPr>
      <w:r>
        <w:t xml:space="preserve">The satisfaction related to the training organisation, in terms of infrastructures and facilities is rather high. No particular problems regarding the organization of the event </w:t>
      </w:r>
      <w:proofErr w:type="gramStart"/>
      <w:r>
        <w:t>were highlighted</w:t>
      </w:r>
      <w:proofErr w:type="gramEnd"/>
      <w:r>
        <w:t xml:space="preserve">. The organization of the training, in terms of timelines, sequence of courses and other, was considered satisfactory by the majority of the participants who replied to the questionnaire (8 out of 9) and the level of satisfaction about the materials distributed during the training is in an average high: 7 out of 10 assessed the material distributed helpful. According to some </w:t>
      </w:r>
      <w:proofErr w:type="gramStart"/>
      <w:r>
        <w:t>participants</w:t>
      </w:r>
      <w:proofErr w:type="gramEnd"/>
      <w:r>
        <w:t xml:space="preserve"> the agenda should have been updated at an earlier stage.</w:t>
      </w:r>
    </w:p>
    <w:p w:rsidR="007066D1" w:rsidRDefault="007066D1" w:rsidP="007066D1">
      <w:pPr>
        <w:pBdr>
          <w:top w:val="nil"/>
          <w:left w:val="nil"/>
          <w:bottom w:val="nil"/>
          <w:right w:val="nil"/>
          <w:between w:val="nil"/>
        </w:pBdr>
        <w:ind w:firstLine="0"/>
        <w:jc w:val="both"/>
      </w:pPr>
    </w:p>
    <w:p w:rsidR="007066D1" w:rsidRDefault="007066D1" w:rsidP="007066D1">
      <w:pPr>
        <w:pBdr>
          <w:top w:val="nil"/>
          <w:left w:val="nil"/>
          <w:bottom w:val="nil"/>
          <w:right w:val="nil"/>
          <w:between w:val="nil"/>
        </w:pBdr>
        <w:ind w:firstLine="0"/>
        <w:jc w:val="both"/>
        <w:rPr>
          <w:i/>
        </w:rPr>
      </w:pPr>
      <w:r>
        <w:rPr>
          <w:i/>
        </w:rPr>
        <w:t>Degree of involvement and satisfaction of the Training</w:t>
      </w:r>
    </w:p>
    <w:p w:rsidR="007066D1" w:rsidRDefault="007066D1" w:rsidP="007066D1">
      <w:pPr>
        <w:pBdr>
          <w:top w:val="nil"/>
          <w:left w:val="nil"/>
          <w:bottom w:val="nil"/>
          <w:right w:val="nil"/>
          <w:between w:val="nil"/>
        </w:pBdr>
        <w:ind w:firstLine="0"/>
        <w:jc w:val="both"/>
      </w:pPr>
      <w:r>
        <w:t xml:space="preserve">The degree of involvement and satisfaction is on average high. All participants judged the trainers well prepared and ready to answer any questions. </w:t>
      </w:r>
      <w:proofErr w:type="gramStart"/>
      <w:r>
        <w:t>Also</w:t>
      </w:r>
      <w:proofErr w:type="gramEnd"/>
      <w:r>
        <w:t>, the level of satisfaction about the impact of the training on the participants’ activities is high: 8 out of 9 respondents assessed the effects of the train satisfactory. However, the level of satisfaction concerning the expectations about the training is in average good, even if some participants did not consider their expectation completely fulfilled. All the participants have confirmed their intention to share the skills acquired with colleagues at their university.</w:t>
      </w:r>
    </w:p>
    <w:p w:rsidR="007066D1" w:rsidRDefault="007066D1" w:rsidP="007066D1">
      <w:pPr>
        <w:pBdr>
          <w:top w:val="nil"/>
          <w:left w:val="nil"/>
          <w:bottom w:val="nil"/>
          <w:right w:val="nil"/>
          <w:between w:val="nil"/>
        </w:pBdr>
        <w:ind w:firstLine="0"/>
        <w:jc w:val="both"/>
      </w:pPr>
    </w:p>
    <w:p w:rsidR="007066D1" w:rsidRDefault="007066D1" w:rsidP="007066D1">
      <w:pPr>
        <w:pBdr>
          <w:top w:val="nil"/>
          <w:left w:val="nil"/>
          <w:bottom w:val="nil"/>
          <w:right w:val="nil"/>
          <w:between w:val="nil"/>
        </w:pBdr>
        <w:ind w:firstLine="0"/>
        <w:jc w:val="both"/>
        <w:rPr>
          <w:b/>
        </w:rPr>
      </w:pPr>
      <w:r>
        <w:rPr>
          <w:i/>
        </w:rPr>
        <w:t>Overall evaluation</w:t>
      </w:r>
    </w:p>
    <w:p w:rsidR="007066D1" w:rsidRDefault="007066D1" w:rsidP="007066D1">
      <w:pPr>
        <w:pBdr>
          <w:top w:val="nil"/>
          <w:left w:val="nil"/>
          <w:bottom w:val="nil"/>
          <w:right w:val="nil"/>
          <w:between w:val="nil"/>
        </w:pBdr>
        <w:ind w:firstLine="0"/>
        <w:jc w:val="both"/>
      </w:pPr>
      <w:r>
        <w:t xml:space="preserve">The overall level of satisfaction is on average high. All the participants judged the training satisfactory, the majority of them considered that the training objectives </w:t>
      </w:r>
      <w:proofErr w:type="gramStart"/>
      <w:r>
        <w:t>were met</w:t>
      </w:r>
      <w:proofErr w:type="gramEnd"/>
      <w:r>
        <w:t xml:space="preserve"> (6 out of 9). More information about the eLearning platforms and the other eLearning tools are highly suggested by the participants. In addition, the participants considered the length of the course too short, and suggested adding to the next training a topic concerning the innovative methods of teaching and learning related to pharmacy education.</w:t>
      </w:r>
    </w:p>
    <w:p w:rsidR="007066D1" w:rsidRDefault="007066D1" w:rsidP="007066D1">
      <w:pPr>
        <w:pBdr>
          <w:top w:val="nil"/>
          <w:left w:val="nil"/>
          <w:bottom w:val="nil"/>
          <w:right w:val="nil"/>
          <w:between w:val="nil"/>
        </w:pBdr>
        <w:ind w:firstLine="0"/>
        <w:jc w:val="both"/>
      </w:pPr>
      <w:r>
        <w:t xml:space="preserve">Three are the aspects of the training that participants evaluated particularly useful: 1. The OSCE presentation; 2. The Clinical Simulation (Elaboration of clinical scenarios for advanced simulation); </w:t>
      </w:r>
      <w:proofErr w:type="gramStart"/>
      <w:r>
        <w:t>3</w:t>
      </w:r>
      <w:proofErr w:type="gramEnd"/>
      <w:r>
        <w:t>. The eLearning platforms.</w:t>
      </w:r>
    </w:p>
    <w:p w:rsidR="007066D1" w:rsidRDefault="007066D1" w:rsidP="007066D1">
      <w:pPr>
        <w:pBdr>
          <w:top w:val="nil"/>
          <w:left w:val="nil"/>
          <w:bottom w:val="nil"/>
          <w:right w:val="nil"/>
          <w:between w:val="nil"/>
        </w:pBdr>
        <w:ind w:firstLine="0"/>
        <w:jc w:val="both"/>
      </w:pPr>
    </w:p>
    <w:p w:rsidR="007066D1" w:rsidRDefault="007066D1" w:rsidP="007066D1">
      <w:pPr>
        <w:pBdr>
          <w:top w:val="nil"/>
          <w:left w:val="nil"/>
          <w:bottom w:val="nil"/>
          <w:right w:val="nil"/>
          <w:between w:val="nil"/>
        </w:pBdr>
        <w:ind w:firstLine="0"/>
        <w:jc w:val="both"/>
        <w:rPr>
          <w:i/>
        </w:rPr>
      </w:pPr>
      <w:r>
        <w:rPr>
          <w:i/>
        </w:rPr>
        <w:t>Workshops that the participants found particularly useful:</w:t>
      </w:r>
    </w:p>
    <w:p w:rsidR="007066D1" w:rsidRDefault="007066D1" w:rsidP="007066D1">
      <w:pPr>
        <w:numPr>
          <w:ilvl w:val="0"/>
          <w:numId w:val="4"/>
        </w:numPr>
        <w:pBdr>
          <w:top w:val="nil"/>
          <w:left w:val="nil"/>
          <w:bottom w:val="nil"/>
          <w:right w:val="nil"/>
          <w:between w:val="nil"/>
        </w:pBdr>
        <w:jc w:val="both"/>
      </w:pPr>
      <w:r>
        <w:t>Academic and Logistic aspect of OSCE (Objective Structured Clinical Examination);</w:t>
      </w:r>
    </w:p>
    <w:p w:rsidR="007066D1" w:rsidRDefault="007066D1" w:rsidP="007066D1">
      <w:pPr>
        <w:numPr>
          <w:ilvl w:val="0"/>
          <w:numId w:val="4"/>
        </w:numPr>
        <w:pBdr>
          <w:top w:val="nil"/>
          <w:left w:val="nil"/>
          <w:bottom w:val="nil"/>
          <w:right w:val="nil"/>
          <w:between w:val="nil"/>
        </w:pBdr>
        <w:jc w:val="both"/>
      </w:pPr>
      <w:r>
        <w:lastRenderedPageBreak/>
        <w:t>Elaboration of clinical scenarios for advanced simulation;</w:t>
      </w:r>
    </w:p>
    <w:p w:rsidR="007066D1" w:rsidRDefault="007066D1" w:rsidP="007066D1">
      <w:pPr>
        <w:numPr>
          <w:ilvl w:val="0"/>
          <w:numId w:val="4"/>
        </w:numPr>
        <w:pBdr>
          <w:top w:val="nil"/>
          <w:left w:val="nil"/>
          <w:bottom w:val="nil"/>
          <w:right w:val="nil"/>
          <w:between w:val="nil"/>
        </w:pBdr>
        <w:jc w:val="both"/>
      </w:pPr>
      <w:r>
        <w:t>E-tools for Advanced Simulation.</w:t>
      </w:r>
    </w:p>
    <w:p w:rsidR="007066D1" w:rsidRDefault="007066D1" w:rsidP="007066D1">
      <w:pPr>
        <w:pBdr>
          <w:top w:val="nil"/>
          <w:left w:val="nil"/>
          <w:bottom w:val="nil"/>
          <w:right w:val="nil"/>
          <w:between w:val="nil"/>
        </w:pBdr>
        <w:ind w:firstLine="0"/>
        <w:jc w:val="both"/>
      </w:pPr>
    </w:p>
    <w:p w:rsidR="007066D1" w:rsidRDefault="007066D1" w:rsidP="007066D1">
      <w:pPr>
        <w:pBdr>
          <w:top w:val="nil"/>
          <w:left w:val="nil"/>
          <w:bottom w:val="nil"/>
          <w:right w:val="nil"/>
          <w:between w:val="nil"/>
        </w:pBdr>
        <w:ind w:firstLine="0"/>
        <w:jc w:val="both"/>
        <w:rPr>
          <w:i/>
        </w:rPr>
      </w:pPr>
      <w:r>
        <w:rPr>
          <w:b/>
        </w:rPr>
        <w:t>Conclusions and recommendations</w:t>
      </w:r>
    </w:p>
    <w:p w:rsidR="007066D1" w:rsidRDefault="007066D1" w:rsidP="007066D1">
      <w:pPr>
        <w:pBdr>
          <w:top w:val="nil"/>
          <w:left w:val="nil"/>
          <w:bottom w:val="nil"/>
          <w:right w:val="nil"/>
          <w:between w:val="nil"/>
        </w:pBdr>
        <w:ind w:firstLine="0"/>
        <w:jc w:val="both"/>
      </w:pPr>
      <w:r>
        <w:t xml:space="preserve">The questionnaire outcomes show that </w:t>
      </w:r>
      <w:proofErr w:type="gramStart"/>
      <w:r>
        <w:t>training has been considered highly satisfactory by the participants</w:t>
      </w:r>
      <w:proofErr w:type="gramEnd"/>
      <w:r>
        <w:t xml:space="preserve">. It </w:t>
      </w:r>
      <w:proofErr w:type="gramStart"/>
      <w:r>
        <w:t>was pointed out</w:t>
      </w:r>
      <w:proofErr w:type="gramEnd"/>
      <w:r>
        <w:t xml:space="preserve"> that the training allowed participants to share views and ideas about the topics, and that the efforts and the commitments of the hosting University were highly appreciated. Concerning the organisation of the training, no particular problems </w:t>
      </w:r>
      <w:proofErr w:type="gramStart"/>
      <w:r>
        <w:t>were highlighted</w:t>
      </w:r>
      <w:proofErr w:type="gramEnd"/>
      <w:r>
        <w:t>.</w:t>
      </w:r>
    </w:p>
    <w:p w:rsidR="007066D1" w:rsidRDefault="007066D1" w:rsidP="007066D1">
      <w:pPr>
        <w:pBdr>
          <w:top w:val="nil"/>
          <w:left w:val="nil"/>
          <w:bottom w:val="nil"/>
          <w:right w:val="nil"/>
          <w:between w:val="nil"/>
        </w:pBdr>
        <w:ind w:firstLine="0"/>
        <w:jc w:val="both"/>
      </w:pPr>
      <w:r>
        <w:t xml:space="preserve">In terms of timelines and sequence of </w:t>
      </w:r>
      <w:proofErr w:type="gramStart"/>
      <w:r>
        <w:t>courses</w:t>
      </w:r>
      <w:proofErr w:type="gramEnd"/>
      <w:r>
        <w:t xml:space="preserve"> just one respondent assessed the training “average”. These figures show that the organisation was in general very good. Focusing on the materials needed for the training, the satisfaction level of the participants is in average good. According to some participants, the materials </w:t>
      </w:r>
      <w:proofErr w:type="gramStart"/>
      <w:r>
        <w:t>should have been updated</w:t>
      </w:r>
      <w:proofErr w:type="gramEnd"/>
      <w:r>
        <w:t xml:space="preserve"> before.</w:t>
      </w:r>
    </w:p>
    <w:p w:rsidR="007066D1" w:rsidRDefault="007066D1" w:rsidP="007066D1">
      <w:pPr>
        <w:pBdr>
          <w:top w:val="nil"/>
          <w:left w:val="nil"/>
          <w:bottom w:val="nil"/>
          <w:right w:val="nil"/>
          <w:between w:val="nil"/>
        </w:pBdr>
        <w:ind w:firstLine="0"/>
        <w:jc w:val="both"/>
      </w:pPr>
      <w:r>
        <w:t xml:space="preserve">In general, the respondents are satisfied with the training quality stating that the participants were very active and interested in the matters object of the training. Some more details </w:t>
      </w:r>
      <w:proofErr w:type="gramStart"/>
      <w:r>
        <w:t>could have been provided</w:t>
      </w:r>
      <w:proofErr w:type="gramEnd"/>
      <w:r>
        <w:t xml:space="preserve"> on teaching and learning methods related to pharmacy education. It </w:t>
      </w:r>
      <w:proofErr w:type="gramStart"/>
      <w:r>
        <w:t>has been suggested</w:t>
      </w:r>
      <w:proofErr w:type="gramEnd"/>
      <w:r>
        <w:t xml:space="preserve"> to include topics related to pharmacy education and to foresee longer visits and training at research </w:t>
      </w:r>
      <w:proofErr w:type="spellStart"/>
      <w:r>
        <w:t>centers</w:t>
      </w:r>
      <w:proofErr w:type="spellEnd"/>
      <w:r>
        <w:t>.</w:t>
      </w:r>
    </w:p>
    <w:p w:rsidR="007066D1" w:rsidRDefault="007066D1" w:rsidP="007066D1">
      <w:pPr>
        <w:pBdr>
          <w:top w:val="nil"/>
          <w:left w:val="nil"/>
          <w:bottom w:val="nil"/>
          <w:right w:val="nil"/>
          <w:between w:val="nil"/>
        </w:pBdr>
        <w:ind w:firstLine="0"/>
        <w:jc w:val="both"/>
      </w:pPr>
      <w:r>
        <w:t xml:space="preserve">In conclusion, it is possible to state that the training held at the University of Santiago de </w:t>
      </w:r>
      <w:proofErr w:type="spellStart"/>
      <w:r>
        <w:t>Compostela</w:t>
      </w:r>
      <w:proofErr w:type="spellEnd"/>
      <w:r>
        <w:t xml:space="preserve"> in the framework of the DIGIHEALTH Project was a success. The training achieved its goals in terms of activities held, but there are some logistical and content aspects that </w:t>
      </w:r>
      <w:proofErr w:type="gramStart"/>
      <w:r>
        <w:t>can be improved</w:t>
      </w:r>
      <w:proofErr w:type="gramEnd"/>
      <w:r>
        <w:t xml:space="preserve"> for future training.</w:t>
      </w:r>
    </w:p>
    <w:p w:rsidR="00AC73AE" w:rsidRPr="00033445" w:rsidRDefault="00AC73AE" w:rsidP="007066D1">
      <w:pPr>
        <w:pStyle w:val="Rubrik3"/>
        <w:ind w:left="720"/>
      </w:pPr>
      <w:bookmarkStart w:id="0" w:name="_GoBack"/>
      <w:bookmarkEnd w:id="0"/>
    </w:p>
    <w:sectPr w:rsidR="00AC73AE" w:rsidRPr="000334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E15"/>
    <w:multiLevelType w:val="multilevel"/>
    <w:tmpl w:val="F5AED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B07E13"/>
    <w:multiLevelType w:val="multilevel"/>
    <w:tmpl w:val="036C9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854603"/>
    <w:multiLevelType w:val="multilevel"/>
    <w:tmpl w:val="4EEC2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FDB6C91"/>
    <w:multiLevelType w:val="multilevel"/>
    <w:tmpl w:val="6A884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445"/>
    <w:rsid w:val="00033445"/>
    <w:rsid w:val="007066D1"/>
    <w:rsid w:val="00AC73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0B213"/>
  <w15:chartTrackingRefBased/>
  <w15:docId w15:val="{A4E2B468-E616-488A-92EB-8883CA9D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445"/>
    <w:pPr>
      <w:spacing w:after="0" w:line="240" w:lineRule="auto"/>
      <w:ind w:firstLine="360"/>
    </w:pPr>
    <w:rPr>
      <w:rFonts w:ascii="Calibri" w:eastAsia="Calibri" w:hAnsi="Calibri" w:cs="Calibri"/>
      <w:lang w:val="en-GB" w:eastAsia="sv-SE"/>
    </w:rPr>
  </w:style>
  <w:style w:type="paragraph" w:styleId="Rubrik3">
    <w:name w:val="heading 3"/>
    <w:basedOn w:val="Normal"/>
    <w:next w:val="Normal"/>
    <w:link w:val="Rubrik3Char"/>
    <w:uiPriority w:val="9"/>
    <w:unhideWhenUsed/>
    <w:qFormat/>
    <w:rsid w:val="00033445"/>
    <w:pPr>
      <w:pBdr>
        <w:bottom w:val="single" w:sz="4" w:space="1" w:color="9CC2E5" w:themeColor="accent1" w:themeTint="99"/>
      </w:pBdr>
      <w:spacing w:before="200" w:after="80"/>
      <w:ind w:firstLine="0"/>
      <w:outlineLvl w:val="2"/>
    </w:pPr>
    <w:rPr>
      <w:rFonts w:eastAsiaTheme="majorEastAsia" w:cstheme="majorBidi"/>
      <w:color w:val="5B9BD5" w:themeColor="accent1"/>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033445"/>
    <w:rPr>
      <w:rFonts w:ascii="Calibri" w:eastAsiaTheme="majorEastAsia" w:hAnsi="Calibri" w:cstheme="majorBidi"/>
      <w:color w:val="5B9BD5" w:themeColor="accent1"/>
      <w:sz w:val="24"/>
      <w:szCs w:val="24"/>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3835</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Linnaeus University</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Vasicheva</dc:creator>
  <cp:keywords/>
  <dc:description/>
  <cp:lastModifiedBy>Valentina Vasicheva</cp:lastModifiedBy>
  <cp:revision>2</cp:revision>
  <dcterms:created xsi:type="dcterms:W3CDTF">2020-10-30T10:01:00Z</dcterms:created>
  <dcterms:modified xsi:type="dcterms:W3CDTF">2020-10-30T10:01:00Z</dcterms:modified>
</cp:coreProperties>
</file>